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9B1C8B" w14:textId="66388657" w:rsidR="00CA6A7A" w:rsidRDefault="00CA6A7A" w:rsidP="00CA6A7A">
      <w:pPr>
        <w:pStyle w:val="CRCoverPage"/>
        <w:tabs>
          <w:tab w:val="right" w:pos="9639"/>
        </w:tabs>
        <w:spacing w:after="0"/>
        <w:rPr>
          <w:b/>
          <w:noProof/>
          <w:sz w:val="24"/>
        </w:rPr>
      </w:pPr>
      <w:r>
        <w:rPr>
          <w:b/>
          <w:noProof/>
          <w:sz w:val="24"/>
        </w:rPr>
        <w:t>3GPP TSG-SA WG6 Meeting #46-e</w:t>
      </w:r>
      <w:r>
        <w:rPr>
          <w:b/>
          <w:noProof/>
          <w:sz w:val="24"/>
        </w:rPr>
        <w:tab/>
        <w:t>S6-21</w:t>
      </w:r>
      <w:r w:rsidR="00FF0788">
        <w:rPr>
          <w:b/>
          <w:noProof/>
          <w:sz w:val="24"/>
        </w:rPr>
        <w:t>779</w:t>
      </w:r>
    </w:p>
    <w:p w14:paraId="3EA2C821" w14:textId="267A0F6D" w:rsidR="00CA6A7A" w:rsidRDefault="00CA6A7A" w:rsidP="00CA6A7A">
      <w:pPr>
        <w:pStyle w:val="CRCoverPage"/>
        <w:tabs>
          <w:tab w:val="right" w:pos="9639"/>
        </w:tabs>
        <w:spacing w:after="0"/>
        <w:rPr>
          <w:b/>
          <w:noProof/>
          <w:sz w:val="24"/>
        </w:rPr>
      </w:pPr>
      <w:r w:rsidRPr="002E55F3">
        <w:rPr>
          <w:b/>
          <w:noProof/>
          <w:sz w:val="22"/>
          <w:szCs w:val="22"/>
        </w:rPr>
        <w:t xml:space="preserve">e-meeting, </w:t>
      </w:r>
      <w:r>
        <w:rPr>
          <w:b/>
          <w:noProof/>
          <w:sz w:val="22"/>
          <w:szCs w:val="22"/>
        </w:rPr>
        <w:t>15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23</w:t>
      </w:r>
      <w:r>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November </w:t>
      </w:r>
      <w:r w:rsidRPr="002E55F3">
        <w:rPr>
          <w:b/>
          <w:noProof/>
          <w:sz w:val="22"/>
          <w:szCs w:val="22"/>
        </w:rPr>
        <w:t>202</w:t>
      </w:r>
      <w:r>
        <w:rPr>
          <w:b/>
          <w:noProof/>
          <w:sz w:val="22"/>
          <w:szCs w:val="22"/>
        </w:rPr>
        <w:t>1</w:t>
      </w:r>
      <w:r>
        <w:rPr>
          <w:rFonts w:cs="Arial"/>
          <w:b/>
          <w:bCs/>
          <w:sz w:val="22"/>
        </w:rPr>
        <w:tab/>
      </w:r>
      <w:r>
        <w:rPr>
          <w:b/>
          <w:noProof/>
          <w:sz w:val="24"/>
        </w:rPr>
        <w:t>(revision of S6-21</w:t>
      </w:r>
      <w:r w:rsidR="00FF0788">
        <w:rPr>
          <w:b/>
          <w:noProof/>
          <w:sz w:val="24"/>
        </w:rPr>
        <w:t>2605</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6533E" w:rsidR="001E41F3" w:rsidRPr="00410371" w:rsidRDefault="00666CA9" w:rsidP="00DB2E5E">
            <w:pPr>
              <w:pStyle w:val="CRCoverPage"/>
              <w:spacing w:after="0"/>
              <w:rPr>
                <w:noProof/>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4C1C7" w:rsidR="001E41F3" w:rsidRPr="00410371" w:rsidRDefault="00FF0788" w:rsidP="005F54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8BFFC"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F70FAC">
              <w:rPr>
                <w:b/>
                <w:noProof/>
                <w:sz w:val="28"/>
              </w:rPr>
              <w:t>1</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92A0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91BAD" w:rsidR="001E41F3" w:rsidRDefault="00153DDF">
            <w:pPr>
              <w:pStyle w:val="CRCoverPage"/>
              <w:spacing w:after="0"/>
              <w:ind w:left="100"/>
              <w:rPr>
                <w:noProof/>
              </w:rPr>
            </w:pPr>
            <w:r>
              <w:rPr>
                <w:lang w:eastAsia="zh-CN"/>
              </w:rPr>
              <w:t xml:space="preserve">EEC context handling in </w:t>
            </w:r>
            <w:r w:rsidR="00A64B8F">
              <w:rPr>
                <w:lang w:eastAsia="zh-CN"/>
              </w:rPr>
              <w:t>T-EES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6CADD" w:rsidR="001E41F3" w:rsidRDefault="00671A6C">
            <w:pPr>
              <w:pStyle w:val="CRCoverPage"/>
              <w:spacing w:after="0"/>
              <w:ind w:left="100"/>
              <w:rPr>
                <w:noProof/>
              </w:rPr>
            </w:pPr>
            <w:r>
              <w:t>Ericsson</w:t>
            </w:r>
            <w:r w:rsidR="004E36D1">
              <w:t>, Samsung</w:t>
            </w:r>
            <w:r w:rsidR="00A64B8F">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AA6CB" w:rsidR="001E41F3" w:rsidRDefault="00F24FB9">
            <w:pPr>
              <w:pStyle w:val="CRCoverPage"/>
              <w:spacing w:after="0"/>
              <w:ind w:left="100"/>
              <w:rPr>
                <w:noProof/>
              </w:rPr>
            </w:pPr>
            <w:r>
              <w:t>EDGE</w:t>
            </w:r>
            <w:r w:rsidR="005F5463">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2A0AF" w:rsidR="001E41F3" w:rsidRDefault="005F5463">
            <w:pPr>
              <w:pStyle w:val="CRCoverPage"/>
              <w:spacing w:after="0"/>
              <w:ind w:left="100"/>
              <w:rPr>
                <w:noProof/>
              </w:rPr>
            </w:pPr>
            <w:r>
              <w:t>2021-</w:t>
            </w:r>
            <w:r w:rsidR="00671A6C">
              <w:t>1</w:t>
            </w:r>
            <w:r w:rsidR="00EC481F">
              <w:t>1</w:t>
            </w:r>
            <w:r>
              <w:t>-</w:t>
            </w:r>
            <w:r w:rsidR="00EC481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6A09E" w:rsidR="001E41F3" w:rsidRDefault="00671A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8AF22" w14:textId="3E26B068" w:rsidR="001E41F3" w:rsidRDefault="00153DDF">
            <w:pPr>
              <w:pStyle w:val="CRCoverPage"/>
              <w:spacing w:after="0"/>
              <w:ind w:left="100"/>
              <w:rPr>
                <w:noProof/>
              </w:rPr>
            </w:pPr>
            <w:r>
              <w:rPr>
                <w:noProof/>
              </w:rPr>
              <w:t xml:space="preserve">Current TS doesn’t </w:t>
            </w:r>
            <w:r w:rsidR="00A64B8F">
              <w:rPr>
                <w:noProof/>
              </w:rPr>
              <w:t>give clear guidance on</w:t>
            </w:r>
            <w:r>
              <w:rPr>
                <w:noProof/>
              </w:rPr>
              <w:t xml:space="preserve"> how to handle EEC context </w:t>
            </w:r>
            <w:r w:rsidR="000B5C6C">
              <w:rPr>
                <w:noProof/>
              </w:rPr>
              <w:t xml:space="preserve">in the T-EES </w:t>
            </w:r>
            <w:r>
              <w:rPr>
                <w:noProof/>
              </w:rPr>
              <w:t>if</w:t>
            </w:r>
            <w:r w:rsidR="000B5C6C">
              <w:rPr>
                <w:noProof/>
              </w:rPr>
              <w:t xml:space="preserve"> post-ACR is not executed</w:t>
            </w:r>
            <w:r w:rsidR="005655B0">
              <w:rPr>
                <w:noProof/>
              </w:rPr>
              <w:t xml:space="preserve"> (i.e. UE doesn’t move to the estimated location</w:t>
            </w:r>
            <w:r w:rsidR="00BA2F41">
              <w:rPr>
                <w:noProof/>
              </w:rPr>
              <w:t xml:space="preserve"> in </w:t>
            </w:r>
            <w:r w:rsidR="00B920E6">
              <w:rPr>
                <w:noProof/>
              </w:rPr>
              <w:t>service continuity</w:t>
            </w:r>
            <w:r w:rsidR="00BA2F41">
              <w:rPr>
                <w:noProof/>
              </w:rPr>
              <w:t xml:space="preserve"> planning</w:t>
            </w:r>
            <w:r w:rsidR="005655B0">
              <w:rPr>
                <w:noProof/>
              </w:rPr>
              <w:t>)</w:t>
            </w:r>
            <w:r>
              <w:rPr>
                <w:noProof/>
              </w:rPr>
              <w:t>.</w:t>
            </w:r>
          </w:p>
          <w:p w14:paraId="59B06783" w14:textId="45D734F6" w:rsidR="000B5C6C" w:rsidRDefault="000B5C6C">
            <w:pPr>
              <w:pStyle w:val="CRCoverPage"/>
              <w:spacing w:after="0"/>
              <w:ind w:left="100"/>
              <w:rPr>
                <w:noProof/>
              </w:rPr>
            </w:pPr>
          </w:p>
          <w:p w14:paraId="6C178DDE" w14:textId="4A04159B" w:rsidR="000B5C6C" w:rsidRDefault="00851830">
            <w:pPr>
              <w:pStyle w:val="CRCoverPage"/>
              <w:spacing w:after="0"/>
              <w:ind w:left="100"/>
              <w:rPr>
                <w:noProof/>
              </w:rPr>
            </w:pPr>
            <w:r>
              <w:rPr>
                <w:noProof/>
              </w:rPr>
              <w:t>W</w:t>
            </w:r>
            <w:r w:rsidR="000B5C6C">
              <w:rPr>
                <w:noProof/>
              </w:rPr>
              <w:t xml:space="preserve">ith neccesary </w:t>
            </w:r>
            <w:r w:rsidR="00FF0788">
              <w:rPr>
                <w:noProof/>
              </w:rPr>
              <w:t>procedures</w:t>
            </w:r>
            <w:r w:rsidR="000B5C6C">
              <w:rPr>
                <w:noProof/>
              </w:rPr>
              <w:t xml:space="preserve"> for EEC context handling, </w:t>
            </w:r>
            <w:r w:rsidR="00C1102D">
              <w:rPr>
                <w:noProof/>
              </w:rPr>
              <w:t xml:space="preserve">and overall evaluation for the existing </w:t>
            </w:r>
            <w:r w:rsidR="00B920E6">
              <w:rPr>
                <w:noProof/>
              </w:rPr>
              <w:t xml:space="preserve">service continuity </w:t>
            </w:r>
            <w:r w:rsidR="00BA2F41">
              <w:rPr>
                <w:noProof/>
              </w:rPr>
              <w:t xml:space="preserve">planning </w:t>
            </w:r>
            <w:r w:rsidR="00C1102D">
              <w:rPr>
                <w:noProof/>
              </w:rPr>
              <w:t xml:space="preserve">scenarios and procedures, </w:t>
            </w:r>
            <w:r w:rsidR="000B5C6C">
              <w:rPr>
                <w:noProof/>
              </w:rPr>
              <w:t>the remaining ENs in</w:t>
            </w:r>
            <w:r w:rsidR="00C1102D">
              <w:rPr>
                <w:noProof/>
              </w:rPr>
              <w:t xml:space="preserve"> cl.8.8.1.1 can be removed:</w:t>
            </w:r>
          </w:p>
          <w:p w14:paraId="3AB90D7E" w14:textId="26F39870" w:rsidR="00C1102D" w:rsidRDefault="00C1102D" w:rsidP="00C1102D">
            <w:pPr>
              <w:pStyle w:val="CRCoverPage"/>
              <w:numPr>
                <w:ilvl w:val="0"/>
                <w:numId w:val="2"/>
              </w:numPr>
              <w:spacing w:after="0"/>
            </w:pPr>
            <w:r>
              <w:rPr>
                <w:noProof/>
              </w:rPr>
              <w:t>No potential change is needed for service continuity planning</w:t>
            </w:r>
          </w:p>
          <w:p w14:paraId="6A2BD80D" w14:textId="4B3E0BD0" w:rsidR="00C1102D" w:rsidRDefault="00C1102D" w:rsidP="00C1102D">
            <w:pPr>
              <w:pStyle w:val="CRCoverPage"/>
              <w:numPr>
                <w:ilvl w:val="0"/>
                <w:numId w:val="2"/>
              </w:numPr>
              <w:spacing w:after="0"/>
            </w:pPr>
            <w:r>
              <w:rPr>
                <w:noProof/>
              </w:rPr>
              <w:t>No need to use expiration/validity time for service continuity planning.</w:t>
            </w:r>
          </w:p>
          <w:p w14:paraId="708AA7DE" w14:textId="7ED4FDC7" w:rsidR="00671A6C" w:rsidRDefault="00671A6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81B2A" w14:textId="6C2131AC" w:rsidR="00B81492" w:rsidRDefault="00AB3351" w:rsidP="005A4986">
            <w:pPr>
              <w:pStyle w:val="CRCoverPage"/>
              <w:spacing w:after="0"/>
              <w:ind w:left="100"/>
              <w:rPr>
                <w:noProof/>
              </w:rPr>
            </w:pPr>
            <w:r>
              <w:rPr>
                <w:noProof/>
              </w:rPr>
              <w:t xml:space="preserve">Describe </w:t>
            </w:r>
            <w:r w:rsidR="00153DDF">
              <w:rPr>
                <w:noProof/>
              </w:rPr>
              <w:t xml:space="preserve">EEC context handling </w:t>
            </w:r>
            <w:r w:rsidR="00B81492">
              <w:rPr>
                <w:noProof/>
              </w:rPr>
              <w:t>when UE change</w:t>
            </w:r>
            <w:r w:rsidR="00692DD4">
              <w:rPr>
                <w:noProof/>
              </w:rPr>
              <w:t>s</w:t>
            </w:r>
            <w:r w:rsidR="00B81492">
              <w:rPr>
                <w:noProof/>
              </w:rPr>
              <w:t xml:space="preserve"> the movement plan during service continuity planning.</w:t>
            </w:r>
            <w:r w:rsidR="00153DDF">
              <w:rPr>
                <w:noProof/>
              </w:rPr>
              <w:t xml:space="preserve"> </w:t>
            </w:r>
          </w:p>
          <w:p w14:paraId="31C656EC" w14:textId="5A5EB35F" w:rsidR="00C1102D" w:rsidRDefault="00B81492" w:rsidP="00B81492">
            <w:pPr>
              <w:pStyle w:val="CRCoverPage"/>
              <w:spacing w:after="0"/>
              <w:ind w:left="100"/>
              <w:rPr>
                <w:noProof/>
              </w:rPr>
            </w:pPr>
            <w:r>
              <w:rPr>
                <w:noProof/>
              </w:rPr>
              <w:t>A</w:t>
            </w:r>
            <w:r w:rsidR="007B517B">
              <w:rPr>
                <w:noProof/>
              </w:rPr>
              <w:t>nd</w:t>
            </w:r>
            <w:r>
              <w:rPr>
                <w:noProof/>
              </w:rPr>
              <w:t xml:space="preserve"> r</w:t>
            </w:r>
            <w:r w:rsidR="00C1102D">
              <w:rPr>
                <w:noProof/>
              </w:rPr>
              <w:t>emove ENs in cl.8.8.1.1.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7C6327" w14:textId="607DF3B1" w:rsidR="001E41F3" w:rsidRDefault="005655B0">
            <w:pPr>
              <w:pStyle w:val="CRCoverPage"/>
              <w:spacing w:after="0"/>
              <w:ind w:left="100"/>
              <w:rPr>
                <w:noProof/>
              </w:rPr>
            </w:pPr>
            <w:r>
              <w:rPr>
                <w:noProof/>
              </w:rPr>
              <w:t>Remaining ENs in the TS for ACR</w:t>
            </w:r>
            <w:r w:rsidR="008316E2">
              <w:rPr>
                <w:noProof/>
              </w:rPr>
              <w:t>;</w:t>
            </w:r>
            <w:r w:rsidR="007B517B">
              <w:rPr>
                <w:noProof/>
              </w:rPr>
              <w:t xml:space="preserve"> and</w:t>
            </w:r>
          </w:p>
          <w:p w14:paraId="5C4BEB44" w14:textId="64330F72" w:rsidR="005655B0" w:rsidRDefault="005655B0">
            <w:pPr>
              <w:pStyle w:val="CRCoverPage"/>
              <w:spacing w:after="0"/>
              <w:ind w:left="100"/>
              <w:rPr>
                <w:noProof/>
              </w:rPr>
            </w:pPr>
            <w:r>
              <w:rPr>
                <w:noProof/>
              </w:rPr>
              <w:t xml:space="preserve">Missing guidance for EEC context </w:t>
            </w:r>
            <w:r w:rsidR="00423C72">
              <w:rPr>
                <w:noProof/>
              </w:rPr>
              <w:t>handling</w:t>
            </w:r>
            <w:r w:rsidR="00D61D34">
              <w:rPr>
                <w:noProof/>
              </w:rPr>
              <w:t xml:space="preserve"> if UE doesn’t move to the predicted destination.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0FCAE" w:rsidR="001E41F3" w:rsidRDefault="00790B5D" w:rsidP="000E68FC">
            <w:pPr>
              <w:pStyle w:val="CRCoverPage"/>
              <w:spacing w:after="0"/>
              <w:ind w:left="100"/>
              <w:rPr>
                <w:noProof/>
              </w:rPr>
            </w:pPr>
            <w:r>
              <w:rPr>
                <w:noProof/>
              </w:rPr>
              <w:t>8.8.</w:t>
            </w:r>
            <w:r w:rsidR="00141F3D">
              <w:rPr>
                <w:noProof/>
              </w:rPr>
              <w:t>1.1</w:t>
            </w:r>
            <w:r w:rsidR="0092271C">
              <w:rPr>
                <w:noProof/>
              </w:rPr>
              <w:t xml:space="preserve">, </w:t>
            </w:r>
            <w:r w:rsidR="00FC0ECB">
              <w:rPr>
                <w:noProof/>
              </w:rPr>
              <w:t>8.</w:t>
            </w:r>
            <w:r w:rsidR="00B81492">
              <w:rPr>
                <w:noProof/>
              </w:rPr>
              <w:t>8.1.X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D69B624" w14:textId="77777777" w:rsidR="000B5C6C" w:rsidRPr="00F477AF" w:rsidRDefault="000B5C6C" w:rsidP="000B5C6C">
      <w:pPr>
        <w:pStyle w:val="Heading4"/>
      </w:pPr>
      <w:bookmarkStart w:id="1" w:name="_Toc83408938"/>
      <w:bookmarkStart w:id="2" w:name="_Toc83409028"/>
      <w:r w:rsidRPr="00F477AF">
        <w:t>8.8.1.1</w:t>
      </w:r>
      <w:r w:rsidRPr="00F477AF">
        <w:tab/>
        <w:t>High level overview</w:t>
      </w:r>
      <w:bookmarkEnd w:id="1"/>
      <w:r w:rsidRPr="00F477AF">
        <w:t xml:space="preserve"> </w:t>
      </w:r>
    </w:p>
    <w:p w14:paraId="6B7D6322" w14:textId="77777777" w:rsidR="000B5C6C" w:rsidRPr="00F477AF" w:rsidRDefault="000B5C6C" w:rsidP="000B5C6C">
      <w:pPr>
        <w:rPr>
          <w:lang w:eastAsia="ko-KR"/>
        </w:rPr>
      </w:pPr>
      <w:r w:rsidRPr="00F477AF">
        <w:rPr>
          <w:lang w:eastAsia="ko-KR"/>
        </w:rPr>
        <w:t>When a UE moves to a new location, different EASs can be more suitable for serving the ACs in the UE. Such transitions can result from a non-mobility event also, requiring support from the enabling layer to maintain the continuity of the service.</w:t>
      </w:r>
    </w:p>
    <w:p w14:paraId="44510A4F" w14:textId="77777777" w:rsidR="000B5C6C" w:rsidRPr="00F477AF" w:rsidRDefault="000B5C6C" w:rsidP="000B5C6C">
      <w:pPr>
        <w:rPr>
          <w:lang w:eastAsia="ko-KR"/>
        </w:rPr>
      </w:pPr>
      <w:r w:rsidRPr="00F477AF">
        <w:rPr>
          <w:lang w:eastAsia="ko-KR"/>
        </w:rPr>
        <w:t>This clause describes the features that support service continuity for ACs in the UE to minimize service interruption while replacing the S-EAS, with a T-EAS.</w:t>
      </w:r>
    </w:p>
    <w:p w14:paraId="74055562" w14:textId="77777777" w:rsidR="000B5C6C" w:rsidRPr="00F477AF" w:rsidRDefault="000B5C6C" w:rsidP="000B5C6C">
      <w:r w:rsidRPr="00F477AF">
        <w:t xml:space="preserve">Generally, the S-EAS is associated with an application context. To support service continuity, this application context from the S-EAS is transferred to a T-EAS. </w:t>
      </w:r>
    </w:p>
    <w:p w14:paraId="0BA984E5" w14:textId="77777777" w:rsidR="000B5C6C" w:rsidRPr="00F477AF" w:rsidRDefault="000B5C6C" w:rsidP="000B5C6C">
      <w:r w:rsidRPr="00F477AF">
        <w:t>The capabilities for supporting service continuity provided at the Edge Enabler Layer may consider various application layer scenarios in which there may be involvement of AC and one or more EAS(s).</w:t>
      </w:r>
    </w:p>
    <w:p w14:paraId="015BF513" w14:textId="77777777" w:rsidR="000B5C6C" w:rsidRPr="00F477AF" w:rsidRDefault="000B5C6C" w:rsidP="000B5C6C">
      <w:r w:rsidRPr="00F477AF">
        <w:t>Following intra-EDN, inter-EDN and LADN related scenarios are supported for service continuity:</w:t>
      </w:r>
    </w:p>
    <w:p w14:paraId="3FD59000" w14:textId="77777777" w:rsidR="000B5C6C" w:rsidRPr="00F477AF" w:rsidRDefault="000B5C6C" w:rsidP="000B5C6C">
      <w:pPr>
        <w:pStyle w:val="B1"/>
      </w:pPr>
      <w:r w:rsidRPr="00F477AF">
        <w:t>-</w:t>
      </w:r>
      <w:r w:rsidRPr="00F477AF">
        <w:tab/>
        <w:t>UE mobility, including predictive or expected UE mobility;</w:t>
      </w:r>
    </w:p>
    <w:p w14:paraId="7F022F62" w14:textId="77777777" w:rsidR="000B5C6C" w:rsidRPr="00F477AF" w:rsidRDefault="000B5C6C" w:rsidP="000B5C6C">
      <w:pPr>
        <w:pStyle w:val="B1"/>
      </w:pPr>
      <w:r w:rsidRPr="00F477AF">
        <w:t>-</w:t>
      </w:r>
      <w:r w:rsidRPr="00F477AF">
        <w:tab/>
        <w:t>Overload situations in S-EAS or EDN; and</w:t>
      </w:r>
    </w:p>
    <w:p w14:paraId="11E0B0AD" w14:textId="77777777" w:rsidR="000B5C6C" w:rsidRPr="00F477AF" w:rsidRDefault="000B5C6C" w:rsidP="000B5C6C">
      <w:pPr>
        <w:pStyle w:val="B1"/>
      </w:pPr>
      <w:r w:rsidRPr="00F477AF">
        <w:t>-</w:t>
      </w:r>
      <w:r w:rsidRPr="00F477AF">
        <w:tab/>
        <w:t>Maintenance aspects such as graceful shutdown of an EAS.</w:t>
      </w:r>
    </w:p>
    <w:p w14:paraId="73E689E0" w14:textId="77777777" w:rsidR="000B5C6C" w:rsidRPr="00F477AF" w:rsidRDefault="000B5C6C" w:rsidP="000B5C6C">
      <w:r w:rsidRPr="00F477AF">
        <w:t>To support the need of ACR, following entity roles are identified:</w:t>
      </w:r>
    </w:p>
    <w:p w14:paraId="6E445CF2" w14:textId="77777777" w:rsidR="000B5C6C" w:rsidRPr="00F477AF" w:rsidRDefault="000B5C6C" w:rsidP="000B5C6C">
      <w:pPr>
        <w:pStyle w:val="B1"/>
      </w:pPr>
      <w:r w:rsidRPr="00F477AF">
        <w:t>-</w:t>
      </w:r>
      <w:r w:rsidRPr="00F477AF">
        <w:tab/>
        <w:t>detection entity, detecting or predicting the need of ACR;</w:t>
      </w:r>
    </w:p>
    <w:p w14:paraId="4FAE9272" w14:textId="77777777" w:rsidR="000B5C6C" w:rsidRPr="00F477AF" w:rsidRDefault="000B5C6C" w:rsidP="000B5C6C">
      <w:pPr>
        <w:pStyle w:val="B1"/>
      </w:pPr>
      <w:r w:rsidRPr="00F477AF">
        <w:t>-</w:t>
      </w:r>
      <w:r w:rsidRPr="00F477AF">
        <w:tab/>
        <w:t>decision-making entity, deciding that the ACR is required; and</w:t>
      </w:r>
    </w:p>
    <w:p w14:paraId="7734F3DB" w14:textId="77777777" w:rsidR="000B5C6C" w:rsidRPr="00F477AF" w:rsidRDefault="000B5C6C" w:rsidP="000B5C6C">
      <w:pPr>
        <w:pStyle w:val="B1"/>
      </w:pPr>
      <w:r w:rsidRPr="00F477AF">
        <w:t>-</w:t>
      </w:r>
      <w:r w:rsidRPr="00F477AF">
        <w:tab/>
        <w:t>execution entity, executing ACR.</w:t>
      </w:r>
    </w:p>
    <w:p w14:paraId="457C0D99" w14:textId="77777777" w:rsidR="000B5C6C" w:rsidRPr="00F477AF" w:rsidRDefault="000B5C6C" w:rsidP="000B5C6C">
      <w:r w:rsidRPr="00F477AF">
        <w:t>A detection entity detects the probable need for ACR by monitoring various aspects, such as UE's location or predicted/expected UE location and indicates to the decision-making entity to determine if the ACR is required. The AC, EEC, EES and EAS can potentially perform the detection role:</w:t>
      </w:r>
    </w:p>
    <w:p w14:paraId="432275EE" w14:textId="77777777" w:rsidR="000B5C6C" w:rsidRPr="00F477AF" w:rsidRDefault="000B5C6C" w:rsidP="000B5C6C">
      <w:r w:rsidRPr="00F477AF">
        <w:t>A decision-making entity determines that ACR is required and instructs the execution entity to perform ACR.</w:t>
      </w:r>
    </w:p>
    <w:p w14:paraId="1C131304" w14:textId="77777777" w:rsidR="000B5C6C" w:rsidRPr="00F477AF" w:rsidRDefault="000B5C6C" w:rsidP="000B5C6C">
      <w:r w:rsidRPr="00F477AF">
        <w:t>An execution entity performs ACR as and when instructed by the decision-making entity.</w:t>
      </w:r>
    </w:p>
    <w:p w14:paraId="22CD34FB" w14:textId="77777777" w:rsidR="000B5C6C" w:rsidRPr="00F477AF" w:rsidRDefault="000B5C6C" w:rsidP="000B5C6C">
      <w:pPr>
        <w:pStyle w:val="NO"/>
      </w:pPr>
      <w:r w:rsidRPr="00F477AF">
        <w:t>NOTE:</w:t>
      </w:r>
      <w:r w:rsidRPr="00F477AF">
        <w:tab/>
        <w:t xml:space="preserve">After a decision that another EAS is to serve the UE, the S-EAS can decide if the existing Application Context is transferred to the new EAS. </w:t>
      </w:r>
    </w:p>
    <w:p w14:paraId="35764153" w14:textId="77777777" w:rsidR="000B5C6C" w:rsidRPr="00F477AF" w:rsidRDefault="000B5C6C" w:rsidP="000B5C6C">
      <w:r w:rsidRPr="00F477AF">
        <w:t>The EAS may utilize the following capabilities provided by the EES for supporting service continuity at the application layer:</w:t>
      </w:r>
    </w:p>
    <w:p w14:paraId="14B4D337" w14:textId="77777777" w:rsidR="000B5C6C" w:rsidRPr="00F477AF" w:rsidRDefault="000B5C6C" w:rsidP="000B5C6C">
      <w:pPr>
        <w:pStyle w:val="B1"/>
      </w:pPr>
      <w:r w:rsidRPr="00F477AF">
        <w:t>-</w:t>
      </w:r>
      <w:r w:rsidRPr="00F477AF">
        <w:tab/>
        <w:t>Subscribe to service continuity related events and receive corresponding notifications;</w:t>
      </w:r>
    </w:p>
    <w:p w14:paraId="78179216" w14:textId="77777777" w:rsidR="000B5C6C" w:rsidRPr="00F477AF" w:rsidRDefault="000B5C6C" w:rsidP="000B5C6C">
      <w:pPr>
        <w:pStyle w:val="B1"/>
      </w:pPr>
      <w:r w:rsidRPr="00F477AF">
        <w:t>-</w:t>
      </w:r>
      <w:r w:rsidRPr="00F477AF">
        <w:tab/>
        <w:t>Fetch the T-EAS; and</w:t>
      </w:r>
    </w:p>
    <w:p w14:paraId="3B4C3D2B" w14:textId="77777777" w:rsidR="000B5C6C" w:rsidRPr="00F477AF" w:rsidRDefault="000B5C6C" w:rsidP="000B5C6C">
      <w:pPr>
        <w:pStyle w:val="B1"/>
      </w:pPr>
      <w:r w:rsidRPr="00F477AF">
        <w:t>-</w:t>
      </w:r>
      <w:r w:rsidRPr="00F477AF">
        <w:tab/>
        <w:t>ACR from a S-EAS to a T-EAS.</w:t>
      </w:r>
    </w:p>
    <w:p w14:paraId="76D3791A" w14:textId="77777777" w:rsidR="000B5C6C" w:rsidRPr="00F477AF" w:rsidRDefault="000B5C6C" w:rsidP="000B5C6C">
      <w:r w:rsidRPr="00F477AF">
        <w:t>The EES can utilize the following capabilities provided by the ECS for supporting service continuity at the application layer:</w:t>
      </w:r>
    </w:p>
    <w:p w14:paraId="29D9DC86" w14:textId="77777777" w:rsidR="000B5C6C" w:rsidRPr="00F477AF" w:rsidRDefault="000B5C6C" w:rsidP="000B5C6C">
      <w:pPr>
        <w:pStyle w:val="B1"/>
      </w:pPr>
      <w:r w:rsidRPr="00F477AF">
        <w:t>-</w:t>
      </w:r>
      <w:r w:rsidRPr="00F477AF">
        <w:tab/>
        <w:t>Fetch the T-EES.</w:t>
      </w:r>
    </w:p>
    <w:p w14:paraId="25EDC0BF" w14:textId="77777777" w:rsidR="000B5C6C" w:rsidRPr="00F477AF" w:rsidRDefault="000B5C6C" w:rsidP="000B5C6C">
      <w:r w:rsidRPr="00F477AF">
        <w:rPr>
          <w:lang w:eastAsia="ko-KR"/>
        </w:rPr>
        <w:t>The EEC may determine if the ACR is required by detecting that the UE moved or is predicted or expected to move outside the service area (see clause 7.3.3). The service area can be provided to the EEC by either the ECS during Service Provisioning or EES during EAS Discovery. For the PDU Session of SSC mode 3, if the UE receives PDU Session Modification Command as specified in clause 4.3.5.2 of 3GPP TS 23.502 [3], the EEC may determine that the ACR is required.</w:t>
      </w:r>
      <w:r w:rsidRPr="00F477AF">
        <w:t xml:space="preserve"> For IPv6 multi-homed PDU Session of SSC mode 3, the EEC may determine that ACR is required if </w:t>
      </w:r>
      <w:r w:rsidRPr="00F477AF">
        <w:lastRenderedPageBreak/>
        <w:t>the UE is notified of the existence and availability of a new IPv6 prefix as specified in clause 4.3.5.3 of 3GPP TS 23.502 [3].</w:t>
      </w:r>
    </w:p>
    <w:p w14:paraId="2D081E7A" w14:textId="77777777" w:rsidR="000B5C6C" w:rsidRPr="00F477AF" w:rsidRDefault="000B5C6C" w:rsidP="000B5C6C">
      <w:pPr>
        <w:pStyle w:val="NO"/>
      </w:pPr>
      <w:r w:rsidRPr="00F477AF">
        <w:t>NOTE:</w:t>
      </w:r>
      <w:r w:rsidRPr="00F477AF">
        <w:tab/>
        <w:t>For IPv6 multi-homed PDU Session of SSC mode 3, the EEC can be aware of the notification about the IPv6 prefix configuration due to change of PSA UPF based on the UE implementation.</w:t>
      </w:r>
    </w:p>
    <w:p w14:paraId="2B8605EA" w14:textId="77777777" w:rsidR="000B5C6C" w:rsidRPr="00F477AF" w:rsidRDefault="000B5C6C" w:rsidP="000B5C6C">
      <w:pPr>
        <w:rPr>
          <w:lang w:eastAsia="ko-KR"/>
        </w:rPr>
      </w:pPr>
      <w:r w:rsidRPr="00F477AF">
        <w:rPr>
          <w:lang w:eastAsia="ko-KR"/>
        </w:rPr>
        <w:t>After successful ACR:</w:t>
      </w:r>
    </w:p>
    <w:p w14:paraId="4F9DA272" w14:textId="77777777" w:rsidR="000B5C6C" w:rsidRPr="00F477AF" w:rsidRDefault="000B5C6C" w:rsidP="000B5C6C">
      <w:pPr>
        <w:pStyle w:val="B1"/>
        <w:rPr>
          <w:lang w:eastAsia="ko-KR"/>
        </w:rPr>
      </w:pPr>
      <w:r w:rsidRPr="00F477AF">
        <w:t>-</w:t>
      </w:r>
      <w:r w:rsidRPr="00F477AF">
        <w:tab/>
      </w:r>
      <w:r w:rsidRPr="00F477AF">
        <w:rPr>
          <w:lang w:eastAsia="ko-KR"/>
        </w:rPr>
        <w:t>The EES is informed of the completion by the EAS; and</w:t>
      </w:r>
    </w:p>
    <w:p w14:paraId="6D6DD158" w14:textId="77777777" w:rsidR="000B5C6C" w:rsidRPr="00F477AF" w:rsidRDefault="000B5C6C" w:rsidP="000B5C6C">
      <w:pPr>
        <w:pStyle w:val="B1"/>
        <w:rPr>
          <w:lang w:eastAsia="ko-KR"/>
        </w:rPr>
      </w:pPr>
      <w:r w:rsidRPr="00F477AF">
        <w:t>-</w:t>
      </w:r>
      <w:r w:rsidRPr="00F477AF">
        <w:tab/>
      </w:r>
      <w:r w:rsidRPr="00F477AF">
        <w:rPr>
          <w:lang w:eastAsia="ko-KR"/>
        </w:rPr>
        <w:t xml:space="preserve">The EEC is informed of the completion by the EES. </w:t>
      </w:r>
    </w:p>
    <w:p w14:paraId="29050652" w14:textId="77777777" w:rsidR="000B5C6C" w:rsidRPr="00F477AF" w:rsidRDefault="000B5C6C" w:rsidP="000B5C6C">
      <w:r w:rsidRPr="00F477AF">
        <w:t xml:space="preserve">In general, a number of steps are required in order to perform the ACR procedure. The potential roles of an edge enablement layer in the ACR procedure include: </w:t>
      </w:r>
    </w:p>
    <w:p w14:paraId="40D03A40" w14:textId="77777777" w:rsidR="000B5C6C" w:rsidRPr="00F477AF" w:rsidRDefault="000B5C6C" w:rsidP="000B5C6C">
      <w:pPr>
        <w:pStyle w:val="B1"/>
      </w:pPr>
      <w:r w:rsidRPr="00F477AF">
        <w:t>-</w:t>
      </w:r>
      <w:r w:rsidRPr="00F477AF">
        <w:tab/>
        <w:t>providing detection events;</w:t>
      </w:r>
    </w:p>
    <w:p w14:paraId="0F578783" w14:textId="77777777" w:rsidR="000B5C6C" w:rsidRPr="00F477AF" w:rsidRDefault="000B5C6C" w:rsidP="000B5C6C">
      <w:pPr>
        <w:pStyle w:val="B1"/>
      </w:pPr>
      <w:r w:rsidRPr="00F477AF">
        <w:t>-</w:t>
      </w:r>
      <w:r w:rsidRPr="00F477AF">
        <w:tab/>
        <w:t>selecting the T-EAS(s); and</w:t>
      </w:r>
    </w:p>
    <w:p w14:paraId="2BF67366" w14:textId="77777777" w:rsidR="000B5C6C" w:rsidRPr="00F477AF" w:rsidRDefault="000B5C6C" w:rsidP="000B5C6C">
      <w:pPr>
        <w:pStyle w:val="B1"/>
      </w:pPr>
      <w:r w:rsidRPr="00F477AF">
        <w:t>-</w:t>
      </w:r>
      <w:r w:rsidRPr="00F477AF">
        <w:tab/>
        <w:t>supporting the transfer of the Application context from the S-EAS(s) to the T-EAS(s).</w:t>
      </w:r>
    </w:p>
    <w:p w14:paraId="28B5DC7C" w14:textId="77777777" w:rsidR="000B5C6C" w:rsidRPr="00F477AF" w:rsidRDefault="000B5C6C" w:rsidP="000B5C6C">
      <w:r w:rsidRPr="00F477AF">
        <w:t>If the UE is connected to the 5GC, the EES/EAS acting as AF may utilize AF traffic influence functionality from the 3GPP CN as specified in 3GPP TS 23.502 [3].</w:t>
      </w:r>
    </w:p>
    <w:p w14:paraId="63D83F03" w14:textId="77777777" w:rsidR="000B5C6C" w:rsidRPr="00F477AF" w:rsidRDefault="000B5C6C" w:rsidP="000B5C6C">
      <w:r w:rsidRPr="00F477AF">
        <w:t>A high level overview of ACR is illustrated in Figure 8.8.1.1-1.</w:t>
      </w:r>
    </w:p>
    <w:p w14:paraId="79F6383E" w14:textId="77777777" w:rsidR="000B5C6C" w:rsidRPr="00F477AF" w:rsidRDefault="000B5C6C" w:rsidP="000B5C6C">
      <w:pPr>
        <w:pStyle w:val="TH"/>
      </w:pPr>
      <w:r w:rsidRPr="00F477AF">
        <w:object w:dxaOrig="6973" w:dyaOrig="8220" w14:anchorId="532F0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204pt" o:ole="">
            <v:imagedata r:id="rId13" o:title=""/>
          </v:shape>
          <o:OLEObject Type="Embed" ProgID="Visio.Drawing.15" ShapeID="_x0000_i1025" DrawAspect="Content" ObjectID="_1699034879" r:id="rId14"/>
        </w:object>
      </w:r>
    </w:p>
    <w:p w14:paraId="75D8A0C6" w14:textId="77777777" w:rsidR="000B5C6C" w:rsidRPr="00F477AF" w:rsidRDefault="000B5C6C" w:rsidP="000B5C6C">
      <w:pPr>
        <w:pStyle w:val="TF"/>
      </w:pPr>
      <w:r w:rsidRPr="00F477AF">
        <w:t>Figure 8.8.1.1-1: High level overview of ACR procedure</w:t>
      </w:r>
    </w:p>
    <w:p w14:paraId="129CCEAF" w14:textId="03D0F741" w:rsidR="000B5C6C" w:rsidRPr="00F477AF" w:rsidDel="00C1102D" w:rsidRDefault="000B5C6C" w:rsidP="000B5C6C">
      <w:pPr>
        <w:pStyle w:val="EditorsNote"/>
        <w:rPr>
          <w:del w:id="3" w:author="[Ericsson] Wenliang Xu" w:date="2021-11-10T13:24:00Z"/>
          <w:rFonts w:ascii="Arial" w:hAnsi="Arial" w:cs="Arial"/>
          <w:color w:val="0000FF"/>
          <w:sz w:val="28"/>
          <w:szCs w:val="28"/>
        </w:rPr>
      </w:pPr>
      <w:del w:id="4" w:author="[Ericsson] Wenliang Xu" w:date="2021-11-10T13:24:00Z">
        <w:r w:rsidRPr="00F477AF" w:rsidDel="00C1102D">
          <w:delText>Editor's Note:</w:delText>
        </w:r>
        <w:r w:rsidRPr="00F477AF" w:rsidDel="00C1102D">
          <w:tab/>
          <w:delText xml:space="preserve">Any potential change required to the pre-conditions and other steps of the ACR procedures to support service continuity planning is FFS. </w:delText>
        </w:r>
      </w:del>
    </w:p>
    <w:p w14:paraId="24B1C1B4" w14:textId="1C5CBB23" w:rsidR="000B5C6C" w:rsidRPr="00F477AF" w:rsidDel="00C1102D" w:rsidRDefault="000B5C6C" w:rsidP="000B5C6C">
      <w:pPr>
        <w:pStyle w:val="EditorsNote"/>
        <w:rPr>
          <w:del w:id="5" w:author="[Ericsson] Wenliang Xu" w:date="2021-11-10T13:24:00Z"/>
        </w:rPr>
      </w:pPr>
      <w:del w:id="6" w:author="[Ericsson] Wenliang Xu" w:date="2021-11-10T13:24:00Z">
        <w:r w:rsidRPr="00F477AF" w:rsidDel="00C1102D">
          <w:delText xml:space="preserve">Editor's Note: Whether and how to use an expiration or validity time for ACR to manage the service continuity planning operations is FFS. </w:delText>
        </w:r>
      </w:del>
    </w:p>
    <w:p w14:paraId="5260DDB9" w14:textId="77777777" w:rsidR="000B5C6C" w:rsidRPr="00F477AF" w:rsidRDefault="000B5C6C" w:rsidP="000B5C6C">
      <w:r w:rsidRPr="00F477AF">
        <w:t>ACR can be performed for service continuity planning, which means that the first three steps of the ACR procedure, detection, decision and execution, are performed as defined in clause 8.8.1.2, e.g. when the UE is predicted to move outside the service area of the serving EAS. In such a case the T-EAS is to service the UE when it moves to the expected location.</w:t>
      </w:r>
    </w:p>
    <w:p w14:paraId="6D9F8563" w14:textId="77777777" w:rsidR="000B5C6C" w:rsidRPr="00C21836" w:rsidRDefault="000B5C6C" w:rsidP="000B5C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bookmarkEnd w:id="2"/>
    <w:p w14:paraId="4AE93AEC" w14:textId="212E2432" w:rsidR="008C7BCA" w:rsidRPr="008C7BCA" w:rsidRDefault="008C7BCA" w:rsidP="008C7BCA">
      <w:pPr>
        <w:pStyle w:val="Heading4"/>
        <w:rPr>
          <w:ins w:id="7" w:author="Vodafone" w:date="2021-11-19T13:46:00Z"/>
          <w:rFonts w:eastAsia="Times New Roman" w:cs="Arial"/>
          <w:color w:val="000000"/>
          <w:lang w:val="en-IN" w:eastAsia="ja-JP"/>
        </w:rPr>
      </w:pPr>
      <w:ins w:id="8" w:author="Vodafone" w:date="2021-11-19T13:46:00Z">
        <w:r w:rsidRPr="008C7BCA">
          <w:rPr>
            <w:rFonts w:eastAsia="Times New Roman" w:cs="Arial"/>
            <w:b/>
            <w:bCs/>
            <w:color w:val="000000"/>
          </w:rPr>
          <w:t>8.8.1.</w:t>
        </w:r>
      </w:ins>
      <w:ins w:id="9" w:author="[Ericsson] Wenliang Xu 2" w:date="2021-11-21T21:11:00Z">
        <w:r w:rsidR="00B81492">
          <w:rPr>
            <w:rFonts w:eastAsia="Times New Roman" w:cs="Arial"/>
            <w:b/>
            <w:bCs/>
            <w:color w:val="000000"/>
          </w:rPr>
          <w:t>X</w:t>
        </w:r>
      </w:ins>
      <w:ins w:id="10" w:author="Vodafone" w:date="2021-11-19T13:46:00Z">
        <w:r w:rsidRPr="008C7BCA">
          <w:rPr>
            <w:rFonts w:eastAsia="Times New Roman" w:cs="Arial"/>
            <w:b/>
            <w:bCs/>
            <w:color w:val="000000"/>
          </w:rPr>
          <w:tab/>
        </w:r>
      </w:ins>
      <w:ins w:id="11" w:author="Samsung" w:date="2021-11-19T13:47:00Z">
        <w:r>
          <w:rPr>
            <w:rFonts w:eastAsia="Times New Roman" w:cs="Arial"/>
            <w:b/>
            <w:bCs/>
            <w:color w:val="000000"/>
          </w:rPr>
          <w:t>Unused contexts handling</w:t>
        </w:r>
        <w:r w:rsidRPr="00E13F17">
          <w:rPr>
            <w:rFonts w:eastAsia="Times New Roman" w:cs="Arial"/>
            <w:b/>
            <w:bCs/>
            <w:color w:val="000000"/>
          </w:rPr>
          <w:t xml:space="preserve"> during service continuity planning</w:t>
        </w:r>
      </w:ins>
      <w:ins w:id="12" w:author="Vodafone" w:date="2021-11-19T13:46:00Z">
        <w:r w:rsidRPr="008C7BCA">
          <w:rPr>
            <w:rFonts w:eastAsia="Times New Roman" w:cs="Arial"/>
            <w:b/>
            <w:bCs/>
            <w:color w:val="000000"/>
          </w:rPr>
          <w:t> </w:t>
        </w:r>
      </w:ins>
    </w:p>
    <w:p w14:paraId="70864C1E" w14:textId="187E2324" w:rsidR="008C7BCA" w:rsidRPr="008C7BCA" w:rsidRDefault="008C7BCA" w:rsidP="008C7BCA">
      <w:pPr>
        <w:rPr>
          <w:ins w:id="13" w:author="Vodafone" w:date="2021-11-19T13:46:00Z"/>
          <w:color w:val="000000"/>
        </w:rPr>
      </w:pPr>
      <w:ins w:id="14" w:author="Vodafone" w:date="2021-11-19T13:46:00Z">
        <w:r w:rsidRPr="008C7BCA">
          <w:rPr>
            <w:color w:val="000000"/>
          </w:rPr>
          <w:t xml:space="preserve">After ACT but before </w:t>
        </w:r>
      </w:ins>
      <w:ins w:id="15" w:author="Samsung" w:date="2021-11-19T13:47:00Z">
        <w:r w:rsidRPr="00E13F17">
          <w:rPr>
            <w:color w:val="FF0000"/>
            <w:lang w:eastAsia="ko-KR"/>
          </w:rPr>
          <w:t xml:space="preserve">EAS sends the ACR status update message to the EES (i.e </w:t>
        </w:r>
      </w:ins>
      <w:ins w:id="16" w:author="Vodafone" w:date="2021-11-19T13:46:00Z">
        <w:r w:rsidRPr="008C7BCA">
          <w:rPr>
            <w:color w:val="000000"/>
          </w:rPr>
          <w:t>the context at the T-EAS is taken into use</w:t>
        </w:r>
      </w:ins>
      <w:ins w:id="17" w:author="Samsung" w:date="2021-11-19T13:47:00Z">
        <w:r>
          <w:rPr>
            <w:color w:val="000000"/>
          </w:rPr>
          <w:t>)</w:t>
        </w:r>
      </w:ins>
      <w:ins w:id="18" w:author="Vodafone" w:date="2021-11-19T13:46:00Z">
        <w:r w:rsidRPr="008C7BCA">
          <w:rPr>
            <w:color w:val="000000"/>
          </w:rPr>
          <w:t xml:space="preserve">, the S-EAS and T-EAS </w:t>
        </w:r>
        <w:del w:id="19" w:author="Samsung" w:date="2021-11-19T13:47:00Z">
          <w:r w:rsidRPr="008C7BCA" w:rsidDel="008C7BCA">
            <w:rPr>
              <w:color w:val="000000"/>
            </w:rPr>
            <w:delText>must</w:delText>
          </w:r>
        </w:del>
      </w:ins>
      <w:ins w:id="20" w:author="Samsung" w:date="2021-11-19T13:47:00Z">
        <w:r>
          <w:rPr>
            <w:color w:val="000000"/>
          </w:rPr>
          <w:t>shall</w:t>
        </w:r>
      </w:ins>
      <w:ins w:id="21" w:author="Vodafone" w:date="2021-11-19T13:46:00Z">
        <w:r w:rsidRPr="008C7BCA">
          <w:rPr>
            <w:color w:val="000000"/>
          </w:rPr>
          <w:t xml:space="preserve"> maintain and synchronize the transferred context. The interval between ACT and </w:t>
        </w:r>
      </w:ins>
      <w:ins w:id="22" w:author="Samsung" w:date="2021-11-19T13:47:00Z">
        <w:r w:rsidRPr="00E13F17">
          <w:rPr>
            <w:color w:val="FF0000"/>
            <w:lang w:eastAsia="ko-KR"/>
          </w:rPr>
          <w:lastRenderedPageBreak/>
          <w:t>ACR status update message from EAS to EES (i.e.</w:t>
        </w:r>
        <w:r w:rsidRPr="00E13F17">
          <w:rPr>
            <w:lang w:eastAsia="ko-KR"/>
          </w:rPr>
          <w:t xml:space="preserve"> </w:t>
        </w:r>
      </w:ins>
      <w:ins w:id="23" w:author="Vodafone" w:date="2021-11-19T13:46:00Z">
        <w:r w:rsidRPr="008C7BCA">
          <w:rPr>
            <w:color w:val="000000"/>
          </w:rPr>
          <w:t>taking the context into use</w:t>
        </w:r>
      </w:ins>
      <w:ins w:id="24" w:author="Samsung" w:date="2021-11-19T13:47:00Z">
        <w:r>
          <w:rPr>
            <w:color w:val="000000"/>
          </w:rPr>
          <w:t>)</w:t>
        </w:r>
      </w:ins>
      <w:ins w:id="25" w:author="Vodafone" w:date="2021-11-19T13:46:00Z">
        <w:r w:rsidRPr="008C7BCA">
          <w:rPr>
            <w:color w:val="000000"/>
          </w:rPr>
          <w:t xml:space="preserve"> can be significant (e.g. in the predicted case). During this interval, the following events are possible:</w:t>
        </w:r>
      </w:ins>
    </w:p>
    <w:p w14:paraId="6B2319AD" w14:textId="3621F0D0" w:rsidR="008C7BCA" w:rsidRPr="008C7BCA" w:rsidRDefault="008C7BCA" w:rsidP="008C7BCA">
      <w:pPr>
        <w:pStyle w:val="b10"/>
        <w:spacing w:after="180"/>
        <w:ind w:left="568" w:hanging="284"/>
        <w:rPr>
          <w:ins w:id="26" w:author="Vodafone" w:date="2021-11-19T13:46:00Z"/>
          <w:color w:val="000000"/>
          <w:sz w:val="20"/>
          <w:szCs w:val="20"/>
        </w:rPr>
      </w:pPr>
      <w:ins w:id="27" w:author="Vodafone" w:date="2021-11-19T13:46:00Z">
        <w:r w:rsidRPr="008C7BCA">
          <w:rPr>
            <w:color w:val="000000"/>
            <w:sz w:val="20"/>
            <w:szCs w:val="20"/>
            <w:lang w:val="en-GB"/>
          </w:rPr>
          <w:t>a)</w:t>
        </w:r>
        <w:r w:rsidRPr="008C7BCA">
          <w:rPr>
            <w:color w:val="000000"/>
            <w:sz w:val="20"/>
            <w:szCs w:val="20"/>
            <w:lang w:val="en-GB"/>
          </w:rPr>
          <w:tab/>
          <w:t xml:space="preserve">the UE remains in its current service area and does not </w:t>
        </w:r>
      </w:ins>
      <w:ins w:id="28" w:author="Samsung" w:date="2021-11-19T13:48:00Z">
        <w:r w:rsidRPr="004027F5">
          <w:rPr>
            <w:color w:val="000000"/>
            <w:sz w:val="20"/>
            <w:szCs w:val="20"/>
            <w:lang w:val="en-GB"/>
          </w:rPr>
          <w:t xml:space="preserve">move to predicted area (i.e. does not </w:t>
        </w:r>
      </w:ins>
      <w:ins w:id="29" w:author="Vodafone" w:date="2021-11-19T13:46:00Z">
        <w:r w:rsidRPr="008C7BCA">
          <w:rPr>
            <w:color w:val="000000"/>
            <w:sz w:val="20"/>
            <w:szCs w:val="20"/>
            <w:lang w:val="en-GB"/>
          </w:rPr>
          <w:t>take the transferred application context into use</w:t>
        </w:r>
      </w:ins>
      <w:ins w:id="30" w:author="Samsung" w:date="2021-11-19T13:48:00Z">
        <w:r>
          <w:rPr>
            <w:color w:val="000000"/>
            <w:sz w:val="20"/>
            <w:szCs w:val="20"/>
            <w:lang w:val="en-GB"/>
          </w:rPr>
          <w:t>)</w:t>
        </w:r>
      </w:ins>
      <w:ins w:id="31" w:author="Vodafone" w:date="2021-11-19T13:46:00Z">
        <w:r w:rsidRPr="008C7BCA">
          <w:rPr>
            <w:color w:val="000000"/>
            <w:sz w:val="20"/>
            <w:szCs w:val="20"/>
            <w:lang w:val="en-GB"/>
          </w:rPr>
          <w:t xml:space="preserve">; </w:t>
        </w:r>
      </w:ins>
      <w:ins w:id="32" w:author="Samsung" w:date="2021-11-19T13:48:00Z">
        <w:r>
          <w:rPr>
            <w:color w:val="000000"/>
            <w:sz w:val="20"/>
            <w:szCs w:val="20"/>
            <w:lang w:val="en-GB"/>
          </w:rPr>
          <w:t>or</w:t>
        </w:r>
      </w:ins>
      <w:ins w:id="33" w:author="Vodafone" w:date="2021-11-19T13:46:00Z">
        <w:r w:rsidRPr="008C7BCA">
          <w:rPr>
            <w:color w:val="000000"/>
            <w:sz w:val="20"/>
            <w:szCs w:val="20"/>
            <w:lang w:val="en-GB"/>
          </w:rPr>
          <w:t> </w:t>
        </w:r>
      </w:ins>
    </w:p>
    <w:p w14:paraId="3C9CE893" w14:textId="6B7A3CC2" w:rsidR="008C7BCA" w:rsidRPr="008C7BCA" w:rsidRDefault="008C7BCA" w:rsidP="008C7BCA">
      <w:pPr>
        <w:pStyle w:val="b10"/>
        <w:spacing w:after="180"/>
        <w:ind w:left="568" w:hanging="284"/>
        <w:rPr>
          <w:ins w:id="34" w:author="Vodafone" w:date="2021-11-19T13:46:00Z"/>
          <w:color w:val="000000"/>
          <w:sz w:val="20"/>
          <w:szCs w:val="20"/>
        </w:rPr>
      </w:pPr>
      <w:ins w:id="35" w:author="Vodafone" w:date="2021-11-19T13:46:00Z">
        <w:r w:rsidRPr="008C7BCA">
          <w:rPr>
            <w:color w:val="000000"/>
            <w:sz w:val="20"/>
            <w:szCs w:val="20"/>
            <w:lang w:val="en-GB"/>
          </w:rPr>
          <w:t>b)</w:t>
        </w:r>
        <w:r w:rsidRPr="008C7BCA">
          <w:rPr>
            <w:color w:val="000000"/>
            <w:sz w:val="20"/>
            <w:szCs w:val="20"/>
            <w:lang w:val="en-GB"/>
          </w:rPr>
          <w:tab/>
          <w:t>the UE moves to a service area served by a different T-EAS</w:t>
        </w:r>
      </w:ins>
      <w:ins w:id="36" w:author="Samsung" w:date="2021-11-19T13:48:00Z">
        <w:r>
          <w:rPr>
            <w:color w:val="000000"/>
            <w:sz w:val="20"/>
            <w:szCs w:val="20"/>
            <w:lang w:val="en-GB"/>
          </w:rPr>
          <w:t xml:space="preserve"> </w:t>
        </w:r>
        <w:r w:rsidRPr="00E13F17">
          <w:rPr>
            <w:color w:val="000000"/>
            <w:sz w:val="20"/>
            <w:szCs w:val="20"/>
            <w:lang w:val="en-GB"/>
          </w:rPr>
          <w:t>(</w:t>
        </w:r>
        <w:r>
          <w:rPr>
            <w:color w:val="000000"/>
            <w:sz w:val="20"/>
            <w:szCs w:val="20"/>
            <w:lang w:val="en-GB"/>
          </w:rPr>
          <w:t>other</w:t>
        </w:r>
        <w:r w:rsidRPr="00E13F17">
          <w:rPr>
            <w:color w:val="000000"/>
            <w:sz w:val="20"/>
            <w:szCs w:val="20"/>
            <w:lang w:val="en-GB"/>
          </w:rPr>
          <w:t xml:space="preserve"> than the T-EAS </w:t>
        </w:r>
        <w:r>
          <w:rPr>
            <w:color w:val="000000"/>
            <w:sz w:val="20"/>
            <w:szCs w:val="20"/>
            <w:lang w:val="en-GB"/>
          </w:rPr>
          <w:t>towards</w:t>
        </w:r>
        <w:r w:rsidRPr="00E13F17">
          <w:rPr>
            <w:color w:val="000000"/>
            <w:sz w:val="20"/>
            <w:szCs w:val="20"/>
            <w:lang w:val="en-GB"/>
          </w:rPr>
          <w:t xml:space="preserve"> which </w:t>
        </w:r>
        <w:r>
          <w:rPr>
            <w:color w:val="000000"/>
            <w:sz w:val="20"/>
            <w:szCs w:val="20"/>
            <w:lang w:val="en-GB"/>
          </w:rPr>
          <w:t xml:space="preserve">the </w:t>
        </w:r>
        <w:r w:rsidRPr="00E13F17">
          <w:rPr>
            <w:color w:val="000000"/>
            <w:sz w:val="20"/>
            <w:szCs w:val="20"/>
            <w:lang w:val="en-GB"/>
          </w:rPr>
          <w:t>ACR was initiated</w:t>
        </w:r>
        <w:r>
          <w:rPr>
            <w:color w:val="000000"/>
            <w:sz w:val="20"/>
            <w:szCs w:val="20"/>
            <w:lang w:val="en-GB"/>
          </w:rPr>
          <w:t xml:space="preserve"> with service continuity planning</w:t>
        </w:r>
        <w:r w:rsidRPr="00E13F17">
          <w:rPr>
            <w:color w:val="000000"/>
            <w:sz w:val="20"/>
            <w:szCs w:val="20"/>
            <w:lang w:val="en-GB"/>
          </w:rPr>
          <w:t>)</w:t>
        </w:r>
      </w:ins>
      <w:ins w:id="37" w:author="Samsung" w:date="2021-11-19T16:13:00Z">
        <w:r w:rsidR="000B492D">
          <w:rPr>
            <w:color w:val="000000"/>
            <w:sz w:val="20"/>
            <w:szCs w:val="20"/>
            <w:lang w:val="en-GB"/>
          </w:rPr>
          <w:t>.</w:t>
        </w:r>
      </w:ins>
    </w:p>
    <w:p w14:paraId="2ACFFF21" w14:textId="7E142C8F" w:rsidR="008C7BCA" w:rsidRDefault="008C7BCA" w:rsidP="008C7BCA">
      <w:pPr>
        <w:rPr>
          <w:ins w:id="38" w:author="Vodafone" w:date="2021-11-19T13:46:00Z"/>
          <w:color w:val="000000"/>
        </w:rPr>
      </w:pPr>
      <w:ins w:id="39" w:author="Vodafone" w:date="2021-11-19T13:46:00Z">
        <w:r w:rsidRPr="008C7BCA">
          <w:rPr>
            <w:color w:val="000000"/>
          </w:rPr>
          <w:t xml:space="preserve">If the </w:t>
        </w:r>
      </w:ins>
      <w:ins w:id="40" w:author="Samsung" w:date="2021-11-19T13:48:00Z">
        <w:r>
          <w:rPr>
            <w:color w:val="000000"/>
          </w:rPr>
          <w:t>decision making entity</w:t>
        </w:r>
        <w:r w:rsidRPr="00E13F17">
          <w:rPr>
            <w:color w:val="000000"/>
          </w:rPr>
          <w:t xml:space="preserve"> </w:t>
        </w:r>
        <w:r>
          <w:rPr>
            <w:color w:val="000000"/>
          </w:rPr>
          <w:t>(</w:t>
        </w:r>
      </w:ins>
      <w:ins w:id="41" w:author="Vodafone" w:date="2021-11-19T13:46:00Z">
        <w:r w:rsidRPr="008C7BCA">
          <w:rPr>
            <w:color w:val="000000"/>
          </w:rPr>
          <w:t>EEC</w:t>
        </w:r>
      </w:ins>
      <w:ins w:id="42" w:author="Samsung" w:date="2021-11-19T13:48:00Z">
        <w:r>
          <w:rPr>
            <w:color w:val="000000"/>
          </w:rPr>
          <w:t>)</w:t>
        </w:r>
      </w:ins>
      <w:ins w:id="43" w:author="Vodafone" w:date="2021-11-19T13:46:00Z">
        <w:r w:rsidRPr="008C7BCA">
          <w:rPr>
            <w:color w:val="000000"/>
          </w:rPr>
          <w:t xml:space="preserve"> decides ACR then the EEC should for events a) and b) re-send the ACR request (8.8.</w:t>
        </w:r>
        <w:del w:id="44" w:author="Samsung" w:date="2021-11-19T13:48:00Z">
          <w:r w:rsidRPr="008C7BCA" w:rsidDel="008C7BCA">
            <w:rPr>
              <w:color w:val="000000"/>
            </w:rPr>
            <w:delText>4</w:delText>
          </w:r>
        </w:del>
      </w:ins>
      <w:ins w:id="45" w:author="Samsung" w:date="2021-11-19T13:48:00Z">
        <w:r>
          <w:rPr>
            <w:color w:val="000000"/>
          </w:rPr>
          <w:t>3</w:t>
        </w:r>
      </w:ins>
      <w:ins w:id="46" w:author="Vodafone" w:date="2021-11-19T13:46:00Z">
        <w:r w:rsidRPr="008C7BCA">
          <w:rPr>
            <w:color w:val="000000"/>
          </w:rPr>
          <w:t xml:space="preserve">.4) </w:t>
        </w:r>
      </w:ins>
      <w:ins w:id="47" w:author="Samsung" w:date="2021-11-19T13:49:00Z">
        <w:r w:rsidR="00263A2B">
          <w:rPr>
            <w:color w:val="000000"/>
          </w:rPr>
          <w:t>including</w:t>
        </w:r>
        <w:r w:rsidRPr="00E13F17">
          <w:rPr>
            <w:color w:val="000000"/>
          </w:rPr>
          <w:t xml:space="preserve"> the ACR action indicating ACR initiation </w:t>
        </w:r>
      </w:ins>
      <w:ins w:id="48" w:author="Samsung" w:date="2021-11-19T13:50:00Z">
        <w:r w:rsidR="00263A2B">
          <w:rPr>
            <w:color w:val="000000"/>
          </w:rPr>
          <w:t xml:space="preserve">along </w:t>
        </w:r>
      </w:ins>
      <w:ins w:id="49" w:author="Vodafone" w:date="2021-11-19T13:46:00Z">
        <w:r w:rsidRPr="008C7BCA">
          <w:rPr>
            <w:color w:val="000000"/>
          </w:rPr>
          <w:t xml:space="preserve">with updated information. For a) the EEC sets T-EAS endpoint information to indicate the S-EAS. For b) the UE sets T-EAS endpoint information to the new T-EAS. </w:t>
        </w:r>
      </w:ins>
    </w:p>
    <w:p w14:paraId="18CDC6D2" w14:textId="6A19FCF2" w:rsidR="00263A2B" w:rsidRPr="00D04387" w:rsidRDefault="00263A2B" w:rsidP="00263A2B">
      <w:pPr>
        <w:rPr>
          <w:ins w:id="50" w:author="Samsung" w:date="2021-11-19T13:51:00Z"/>
          <w:color w:val="000000"/>
        </w:rPr>
      </w:pPr>
      <w:ins w:id="51" w:author="Samsung" w:date="2021-11-19T13:51:00Z">
        <w:r w:rsidRPr="00D04387">
          <w:rPr>
            <w:color w:val="000000"/>
          </w:rPr>
          <w:t xml:space="preserve">For </w:t>
        </w:r>
        <w:r>
          <w:rPr>
            <w:color w:val="000000"/>
          </w:rPr>
          <w:t xml:space="preserve">events </w:t>
        </w:r>
        <w:r w:rsidRPr="00D04387">
          <w:rPr>
            <w:color w:val="000000"/>
          </w:rPr>
          <w:t>a) and b)</w:t>
        </w:r>
        <w:r>
          <w:rPr>
            <w:color w:val="000000"/>
          </w:rPr>
          <w:t>,</w:t>
        </w:r>
        <w:r w:rsidRPr="00D04387">
          <w:rPr>
            <w:color w:val="000000"/>
          </w:rPr>
          <w:t xml:space="preserve"> upon receiving the re-send ACR request, the </w:t>
        </w:r>
      </w:ins>
      <w:ins w:id="52" w:author="Samsung" w:date="2021-11-19T13:55:00Z">
        <w:r>
          <w:rPr>
            <w:color w:val="000000"/>
          </w:rPr>
          <w:t>EES</w:t>
        </w:r>
      </w:ins>
      <w:ins w:id="53" w:author="Samsung" w:date="2021-11-19T13:51:00Z">
        <w:r w:rsidRPr="00D04387">
          <w:rPr>
            <w:color w:val="000000"/>
          </w:rPr>
          <w:t xml:space="preserve"> will discard the previous </w:t>
        </w:r>
      </w:ins>
      <w:ins w:id="54" w:author="Samsung" w:date="2021-11-19T13:55:00Z">
        <w:r>
          <w:rPr>
            <w:color w:val="000000"/>
          </w:rPr>
          <w:t xml:space="preserve">EEC </w:t>
        </w:r>
      </w:ins>
      <w:ins w:id="55" w:author="Samsung" w:date="2021-11-19T13:51:00Z">
        <w:r w:rsidRPr="00D04387">
          <w:rPr>
            <w:color w:val="000000"/>
          </w:rPr>
          <w:t xml:space="preserve">context received during </w:t>
        </w:r>
      </w:ins>
      <w:ins w:id="56" w:author="Samsung" w:date="2021-11-19T13:56:00Z">
        <w:r>
          <w:rPr>
            <w:color w:val="000000"/>
          </w:rPr>
          <w:t xml:space="preserve">ACR initiation with </w:t>
        </w:r>
      </w:ins>
      <w:ins w:id="57" w:author="Samsung" w:date="2021-11-19T13:51:00Z">
        <w:r w:rsidRPr="00D04387">
          <w:rPr>
            <w:color w:val="000000"/>
          </w:rPr>
          <w:t xml:space="preserve">service </w:t>
        </w:r>
      </w:ins>
      <w:ins w:id="58" w:author="Samsung" w:date="2021-11-19T13:55:00Z">
        <w:r>
          <w:rPr>
            <w:color w:val="000000"/>
          </w:rPr>
          <w:t>continuity</w:t>
        </w:r>
      </w:ins>
      <w:ins w:id="59" w:author="Samsung" w:date="2021-11-19T13:51:00Z">
        <w:r w:rsidRPr="00D04387">
          <w:rPr>
            <w:color w:val="000000"/>
          </w:rPr>
          <w:t xml:space="preserve"> planning.</w:t>
        </w:r>
      </w:ins>
      <w:ins w:id="60" w:author="Samsung" w:date="2021-11-19T13:56:00Z">
        <w:r>
          <w:rPr>
            <w:color w:val="000000"/>
          </w:rPr>
          <w:t xml:space="preserve"> </w:t>
        </w:r>
      </w:ins>
      <w:ins w:id="61" w:author="Samsung" w:date="2021-11-19T13:51:00Z">
        <w:r w:rsidRPr="00D04387">
          <w:rPr>
            <w:color w:val="000000"/>
          </w:rPr>
          <w:t xml:space="preserve">If re-send ACR request is not received, then discarding the unused EEC context can be </w:t>
        </w:r>
        <w:r>
          <w:rPr>
            <w:color w:val="000000"/>
          </w:rPr>
          <w:t>based on timeout</w:t>
        </w:r>
      </w:ins>
      <w:ins w:id="62" w:author="Samsung" w:date="2021-11-19T13:56:00Z">
        <w:r>
          <w:rPr>
            <w:color w:val="000000"/>
          </w:rPr>
          <w:t>.</w:t>
        </w:r>
      </w:ins>
    </w:p>
    <w:p w14:paraId="7C3255B1" w14:textId="77777777" w:rsidR="00263A2B" w:rsidRPr="005B66AE" w:rsidRDefault="00263A2B" w:rsidP="00263A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02D3F2FB" w14:textId="77777777" w:rsidR="008C7BCA" w:rsidRPr="003D0E86" w:rsidRDefault="008C7BCA" w:rsidP="00D04387"/>
    <w:sectPr w:rsidR="008C7BCA" w:rsidRPr="003D0E8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FA494E" w14:textId="77777777" w:rsidR="00E52AAD" w:rsidRDefault="00E52AAD">
      <w:r>
        <w:separator/>
      </w:r>
    </w:p>
  </w:endnote>
  <w:endnote w:type="continuationSeparator" w:id="0">
    <w:p w14:paraId="6A7A5C2A" w14:textId="77777777" w:rsidR="00E52AAD" w:rsidRDefault="00E52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2F9C79" w14:textId="77777777" w:rsidR="00E52AAD" w:rsidRDefault="00E52AAD">
      <w:r>
        <w:separator/>
      </w:r>
    </w:p>
  </w:footnote>
  <w:footnote w:type="continuationSeparator" w:id="0">
    <w:p w14:paraId="439A680F" w14:textId="77777777" w:rsidR="00E52AAD" w:rsidRDefault="00E52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04FAB"/>
    <w:multiLevelType w:val="hybridMultilevel"/>
    <w:tmpl w:val="77D8208A"/>
    <w:lvl w:ilvl="0" w:tplc="A5DED97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rson w15:author="Vodafone">
    <w15:presenceInfo w15:providerId="None" w15:userId="Vodafone"/>
  </w15:person>
  <w15:person w15:author="[Ericsson] Wenliang Xu 2">
    <w15:presenceInfo w15:providerId="None" w15:userId="[Ericsson] Wenliang Xu 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fr-FR" w:vendorID="64" w:dllVersion="6" w:nlCheck="1" w:checkStyle="0"/>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E68"/>
    <w:rsid w:val="00086715"/>
    <w:rsid w:val="000A6394"/>
    <w:rsid w:val="000B492D"/>
    <w:rsid w:val="000B5C6C"/>
    <w:rsid w:val="000B7FED"/>
    <w:rsid w:val="000C038A"/>
    <w:rsid w:val="000C6598"/>
    <w:rsid w:val="000D44B3"/>
    <w:rsid w:val="000E68FC"/>
    <w:rsid w:val="000F731E"/>
    <w:rsid w:val="00133479"/>
    <w:rsid w:val="00141F3D"/>
    <w:rsid w:val="00144D30"/>
    <w:rsid w:val="00145D43"/>
    <w:rsid w:val="00153DDF"/>
    <w:rsid w:val="00192C46"/>
    <w:rsid w:val="001A08B3"/>
    <w:rsid w:val="001A7B60"/>
    <w:rsid w:val="001B52F0"/>
    <w:rsid w:val="001B7A65"/>
    <w:rsid w:val="001C0444"/>
    <w:rsid w:val="001C19D0"/>
    <w:rsid w:val="001E33D3"/>
    <w:rsid w:val="001E41F3"/>
    <w:rsid w:val="00243BB1"/>
    <w:rsid w:val="00257A5B"/>
    <w:rsid w:val="0026004D"/>
    <w:rsid w:val="00263A2B"/>
    <w:rsid w:val="002640DD"/>
    <w:rsid w:val="00275D12"/>
    <w:rsid w:val="00281AC0"/>
    <w:rsid w:val="00284FEB"/>
    <w:rsid w:val="002860C4"/>
    <w:rsid w:val="002947C6"/>
    <w:rsid w:val="002B5741"/>
    <w:rsid w:val="002E472E"/>
    <w:rsid w:val="00305409"/>
    <w:rsid w:val="003079D7"/>
    <w:rsid w:val="00327D97"/>
    <w:rsid w:val="003609EF"/>
    <w:rsid w:val="0036231A"/>
    <w:rsid w:val="00374DD4"/>
    <w:rsid w:val="00376D75"/>
    <w:rsid w:val="003D0E86"/>
    <w:rsid w:val="003D3E0F"/>
    <w:rsid w:val="003E1A36"/>
    <w:rsid w:val="003F3641"/>
    <w:rsid w:val="004027F5"/>
    <w:rsid w:val="00410371"/>
    <w:rsid w:val="0041446F"/>
    <w:rsid w:val="004210C5"/>
    <w:rsid w:val="00423C72"/>
    <w:rsid w:val="004242F1"/>
    <w:rsid w:val="004363FD"/>
    <w:rsid w:val="00473DB1"/>
    <w:rsid w:val="004A478C"/>
    <w:rsid w:val="004B75B7"/>
    <w:rsid w:val="004E36D1"/>
    <w:rsid w:val="004E718D"/>
    <w:rsid w:val="004F5310"/>
    <w:rsid w:val="0051580D"/>
    <w:rsid w:val="00547111"/>
    <w:rsid w:val="005540BD"/>
    <w:rsid w:val="005655B0"/>
    <w:rsid w:val="00572637"/>
    <w:rsid w:val="00592D74"/>
    <w:rsid w:val="005A4986"/>
    <w:rsid w:val="005B66AE"/>
    <w:rsid w:val="005D7FD4"/>
    <w:rsid w:val="005E2C44"/>
    <w:rsid w:val="005E7CD7"/>
    <w:rsid w:val="005F5463"/>
    <w:rsid w:val="00621188"/>
    <w:rsid w:val="006257ED"/>
    <w:rsid w:val="00636B95"/>
    <w:rsid w:val="00665C47"/>
    <w:rsid w:val="00666CA9"/>
    <w:rsid w:val="00671A6C"/>
    <w:rsid w:val="00692DD4"/>
    <w:rsid w:val="00695808"/>
    <w:rsid w:val="006A0189"/>
    <w:rsid w:val="006B43AA"/>
    <w:rsid w:val="006B46FB"/>
    <w:rsid w:val="006B6CC0"/>
    <w:rsid w:val="006E21FB"/>
    <w:rsid w:val="00700259"/>
    <w:rsid w:val="007019D7"/>
    <w:rsid w:val="007566A4"/>
    <w:rsid w:val="007603D8"/>
    <w:rsid w:val="00765133"/>
    <w:rsid w:val="0077197D"/>
    <w:rsid w:val="00790B5D"/>
    <w:rsid w:val="00792342"/>
    <w:rsid w:val="007977A8"/>
    <w:rsid w:val="007B2075"/>
    <w:rsid w:val="007B512A"/>
    <w:rsid w:val="007B517B"/>
    <w:rsid w:val="007C033C"/>
    <w:rsid w:val="007C2097"/>
    <w:rsid w:val="007D6A07"/>
    <w:rsid w:val="007F7259"/>
    <w:rsid w:val="008040A8"/>
    <w:rsid w:val="00823DE4"/>
    <w:rsid w:val="008279FA"/>
    <w:rsid w:val="008316E2"/>
    <w:rsid w:val="00841D5B"/>
    <w:rsid w:val="00851830"/>
    <w:rsid w:val="008622EF"/>
    <w:rsid w:val="008626E7"/>
    <w:rsid w:val="00870EE7"/>
    <w:rsid w:val="00877110"/>
    <w:rsid w:val="0088094D"/>
    <w:rsid w:val="008863B9"/>
    <w:rsid w:val="008A45A6"/>
    <w:rsid w:val="008C7BCA"/>
    <w:rsid w:val="008D6BE1"/>
    <w:rsid w:val="008E3003"/>
    <w:rsid w:val="008F3789"/>
    <w:rsid w:val="008F686C"/>
    <w:rsid w:val="009148DE"/>
    <w:rsid w:val="0091721B"/>
    <w:rsid w:val="00921F96"/>
    <w:rsid w:val="0092271C"/>
    <w:rsid w:val="00941E30"/>
    <w:rsid w:val="009465C0"/>
    <w:rsid w:val="0096548C"/>
    <w:rsid w:val="009777D9"/>
    <w:rsid w:val="00991B88"/>
    <w:rsid w:val="009A5753"/>
    <w:rsid w:val="009A579D"/>
    <w:rsid w:val="009A71E2"/>
    <w:rsid w:val="009E321E"/>
    <w:rsid w:val="009E3297"/>
    <w:rsid w:val="009F734F"/>
    <w:rsid w:val="00A246B6"/>
    <w:rsid w:val="00A40551"/>
    <w:rsid w:val="00A47E70"/>
    <w:rsid w:val="00A50CF0"/>
    <w:rsid w:val="00A64B8F"/>
    <w:rsid w:val="00A708CA"/>
    <w:rsid w:val="00A7671C"/>
    <w:rsid w:val="00A76EF0"/>
    <w:rsid w:val="00A80BAE"/>
    <w:rsid w:val="00AA1FC5"/>
    <w:rsid w:val="00AA2CBC"/>
    <w:rsid w:val="00AB1716"/>
    <w:rsid w:val="00AB3351"/>
    <w:rsid w:val="00AC5820"/>
    <w:rsid w:val="00AD1CD8"/>
    <w:rsid w:val="00AF719E"/>
    <w:rsid w:val="00B258BB"/>
    <w:rsid w:val="00B50A3D"/>
    <w:rsid w:val="00B62DB8"/>
    <w:rsid w:val="00B66B97"/>
    <w:rsid w:val="00B67B97"/>
    <w:rsid w:val="00B81492"/>
    <w:rsid w:val="00B8672D"/>
    <w:rsid w:val="00B920E6"/>
    <w:rsid w:val="00B968C8"/>
    <w:rsid w:val="00BA2F41"/>
    <w:rsid w:val="00BA3205"/>
    <w:rsid w:val="00BA3EC5"/>
    <w:rsid w:val="00BA51D9"/>
    <w:rsid w:val="00BA5973"/>
    <w:rsid w:val="00BB5DFC"/>
    <w:rsid w:val="00BD279D"/>
    <w:rsid w:val="00BD6BB8"/>
    <w:rsid w:val="00BF12F5"/>
    <w:rsid w:val="00C1102D"/>
    <w:rsid w:val="00C66BA2"/>
    <w:rsid w:val="00C95985"/>
    <w:rsid w:val="00CA6A7A"/>
    <w:rsid w:val="00CC5026"/>
    <w:rsid w:val="00CC68D0"/>
    <w:rsid w:val="00CC7D64"/>
    <w:rsid w:val="00CE7238"/>
    <w:rsid w:val="00D0387F"/>
    <w:rsid w:val="00D03F9A"/>
    <w:rsid w:val="00D04387"/>
    <w:rsid w:val="00D06D51"/>
    <w:rsid w:val="00D24991"/>
    <w:rsid w:val="00D36798"/>
    <w:rsid w:val="00D50255"/>
    <w:rsid w:val="00D5351D"/>
    <w:rsid w:val="00D57E0A"/>
    <w:rsid w:val="00D61D34"/>
    <w:rsid w:val="00D66520"/>
    <w:rsid w:val="00D83372"/>
    <w:rsid w:val="00DB2E5E"/>
    <w:rsid w:val="00DC1EE5"/>
    <w:rsid w:val="00DE2DDC"/>
    <w:rsid w:val="00DE34CF"/>
    <w:rsid w:val="00DF4ADF"/>
    <w:rsid w:val="00E13F17"/>
    <w:rsid w:val="00E13F3D"/>
    <w:rsid w:val="00E15AE7"/>
    <w:rsid w:val="00E21F60"/>
    <w:rsid w:val="00E34898"/>
    <w:rsid w:val="00E3765E"/>
    <w:rsid w:val="00E52AAD"/>
    <w:rsid w:val="00E815BF"/>
    <w:rsid w:val="00E856AF"/>
    <w:rsid w:val="00E93CF2"/>
    <w:rsid w:val="00E93FBB"/>
    <w:rsid w:val="00E97FC3"/>
    <w:rsid w:val="00EB09B7"/>
    <w:rsid w:val="00EC396A"/>
    <w:rsid w:val="00EC481F"/>
    <w:rsid w:val="00EE0DB8"/>
    <w:rsid w:val="00EE0E9F"/>
    <w:rsid w:val="00EE7D7C"/>
    <w:rsid w:val="00EF657C"/>
    <w:rsid w:val="00F24FB9"/>
    <w:rsid w:val="00F25D98"/>
    <w:rsid w:val="00F2782D"/>
    <w:rsid w:val="00F300FB"/>
    <w:rsid w:val="00F63383"/>
    <w:rsid w:val="00F70FAC"/>
    <w:rsid w:val="00F8450E"/>
    <w:rsid w:val="00FB50C8"/>
    <w:rsid w:val="00FB6386"/>
    <w:rsid w:val="00FC0ECB"/>
    <w:rsid w:val="00FD02F4"/>
    <w:rsid w:val="00FD0A76"/>
    <w:rsid w:val="00FF07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paragraph" w:customStyle="1" w:styleId="b10">
    <w:name w:val="b1"/>
    <w:basedOn w:val="Normal"/>
    <w:uiPriority w:val="99"/>
    <w:semiHidden/>
    <w:rsid w:val="00BA3205"/>
    <w:pPr>
      <w:spacing w:after="0"/>
    </w:pPr>
    <w:rPr>
      <w:sz w:val="24"/>
      <w:szCs w:val="24"/>
      <w:lang w:val="en-I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857276539">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 w:id="1732381905">
      <w:bodyDiv w:val="1"/>
      <w:marLeft w:val="0"/>
      <w:marRight w:val="0"/>
      <w:marTop w:val="0"/>
      <w:marBottom w:val="0"/>
      <w:divBdr>
        <w:top w:val="none" w:sz="0" w:space="0" w:color="auto"/>
        <w:left w:val="none" w:sz="0" w:space="0" w:color="auto"/>
        <w:bottom w:val="none" w:sz="0" w:space="0" w:color="auto"/>
        <w:right w:val="none" w:sz="0" w:space="0" w:color="auto"/>
      </w:divBdr>
    </w:div>
    <w:div w:id="192036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BE856-5C12-45C4-BA6B-446A669C3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1280</Words>
  <Characters>7297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2</cp:lastModifiedBy>
  <cp:revision>6</cp:revision>
  <cp:lastPrinted>1899-12-31T23:00:00Z</cp:lastPrinted>
  <dcterms:created xsi:type="dcterms:W3CDTF">2021-11-19T12:06:00Z</dcterms:created>
  <dcterms:modified xsi:type="dcterms:W3CDTF">2021-11-21T13:13:00Z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y fmtid="{D5CDD505-2E9C-101B-9397-08002B2CF9AE}" pid="24" name="NSCPROP_SA">
    <vt:lpwstr>C:\Users\basavarajjp\AppData\Local\Temp\Temp2_S6-212605.zip\S6-212605 EDGEAPP EEC context handling in T-EES 23558 v0.docx</vt:lpwstr>
  </property>
</Properties>
</file>